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D59" w14:textId="7BD78E92" w:rsidR="00A21C12" w:rsidRPr="002E2CCE" w:rsidRDefault="00A21C12" w:rsidP="002E2CC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2CCE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 ПРО НАМІР ОТРИМАТИ ДОЗВІЛ НА ВИКИДИ</w:t>
      </w:r>
    </w:p>
    <w:p w14:paraId="19BC2B92" w14:textId="11F41575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hAnsi="Times New Roman" w:cs="Times New Roman"/>
          <w:sz w:val="26"/>
          <w:szCs w:val="26"/>
          <w:lang w:val="uk-UA"/>
        </w:rPr>
        <w:t>ПРИВАТНЕ АКЦІОНЕРНЕ ТОВАРИСТВО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(ПРАТ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код ЄДРПОУ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05581898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юридична адреса: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36014, Полтавська обл., м. Полтава, площа Павленківська, 24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+38 0532 50 34 00,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e-mail: di.kovalenko@kernel.ua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 має намір отримати дозвіл на викиди забруднюючих речовин в атмосферне повітря стаціонарними джерелами. Обʼєкт розташований за адресою: </w:t>
      </w:r>
      <w:r w:rsidR="00493024" w:rsidRPr="00493024">
        <w:rPr>
          <w:rFonts w:ascii="Times New Roman" w:hAnsi="Times New Roman" w:cs="Times New Roman"/>
          <w:sz w:val="26"/>
          <w:szCs w:val="26"/>
          <w:lang w:val="uk-UA"/>
        </w:rPr>
        <w:t>16506, Чернігівська обл., Ніжинський р-н, с.Бахмач, вул.Урожайна, 41А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62E04A84" w14:textId="5BE7EAD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Метою отримання дозволу на викиди є отримання офіційного документу, який дає право провадити господарську діяльність на існуючому об'єкті, з якого надходять в атмосферне повітря забруднюючі речовини.</w:t>
      </w:r>
    </w:p>
    <w:p w14:paraId="519798EC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Згідно вимог Закону України «Про оцінку впливу на довкілля» діяльність ПРАТ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«ПОЛТАВСЬКЕ ХЛІБОПРИЙМАЛЬНЕ ПІДПРИЄМСТВО»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не підлягає оцінці впливу на довкілля.</w:t>
      </w:r>
    </w:p>
    <w:p w14:paraId="3FD26FF3" w14:textId="08355152" w:rsidR="00A21C12" w:rsidRPr="002E2CCE" w:rsidRDefault="00493024" w:rsidP="0049302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Бахмацька</w:t>
      </w:r>
      <w:r w:rsidR="00A21C12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дільниця призначена для приймання, первинної обробки і зберігання зернових культур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(елеватор)</w:t>
      </w:r>
      <w:r w:rsidR="00A21C12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Річний обсяг зернових культур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115 тис.</w:t>
      </w:r>
      <w:r w:rsidR="00A21C12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тонн, одночасне зберігання зернових становить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63 тис.</w:t>
      </w:r>
      <w:r w:rsidR="00A21C12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тонн. 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Виробничою схемою підприємства передбачено розміщення технологічного обладнання так, щоб забезпечити безперервне виконання операцій із зерном та їх доцільну черговість, звести до мінімуму транспортні операції та вантажно-розвантажувальні роботи із зерном, виключити можливість змішування різнорідних партій зерна.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території елеватору джерелами утворення викидів є: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зерносушильн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зерноочисн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комплекс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силоси зберігання зерна;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зерносклади підлогового зберігання зерна, місця вивантаження зернових в автомобільний транспорт,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вузол вивантаження зернових в залізничні вагони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котлоагрегати, </w:t>
      </w:r>
      <w:r w:rsidR="005E792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паливно-заправний пункт, джерела аварійного електропостачання (дизельні електростанції та бензогенератор)</w:t>
      </w:r>
      <w:r w:rsidRPr="00FE00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14:paraId="071D8B6E" w14:textId="54C7B929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 час роботи технологічного устаткування до атмосферного повітря викидаються: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>речовини у вигляді суспендованих твердих частинок (мікрочастинки та волокна)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3878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11,2297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т/рік, 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оксиди азоту (у перерахунку на діоксид азоту [NO+NO2]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2,9145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сірки діоксид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0,0172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оксид вуглецю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1,1317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залізо та його сполуки (у перерахунку на залізо)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0,0005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манган та його сполуки (у перерахунку на діоксид мангану)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0,00005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неметанові леткі органічні сполуки (НМЛОС)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0,039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метан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0,0631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кремнію діоксид аморфний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0,0001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титану діоксид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0,00004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азоту (1) оксид [N2O]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0,1208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т/рік; вуглецю діоксид – </w:t>
      </w:r>
      <w:r w:rsidR="003878DD">
        <w:rPr>
          <w:rFonts w:ascii="Times New Roman" w:hAnsi="Times New Roman" w:cs="Times New Roman"/>
          <w:sz w:val="26"/>
          <w:szCs w:val="26"/>
          <w:lang w:val="uk-UA"/>
        </w:rPr>
        <w:t>3378,1991</w:t>
      </w:r>
      <w:r w:rsidRPr="002E2CCE">
        <w:rPr>
          <w:rFonts w:ascii="Times New Roman" w:hAnsi="Times New Roman" w:cs="Times New Roman"/>
          <w:sz w:val="26"/>
          <w:szCs w:val="26"/>
          <w:lang w:val="uk-UA"/>
        </w:rPr>
        <w:t xml:space="preserve"> т/рік.</w:t>
      </w:r>
    </w:p>
    <w:p w14:paraId="137ABFC0" w14:textId="20E3A2D6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Валовий викид становить (без врахування вуглецю діоксиду) становить </w:t>
      </w:r>
      <w:r w:rsidR="003878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15,516</w:t>
      </w:r>
      <w:r w:rsidR="00F22AA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т/рік.</w:t>
      </w:r>
    </w:p>
    <w:p w14:paraId="671AD27C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 ступеню впливу на забруднення атмосферного повітря об’єкт відноситься до другої групи, як об’єкт, який взятий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керування.</w:t>
      </w:r>
    </w:p>
    <w:p w14:paraId="0B09BF8F" w14:textId="77777777" w:rsidR="00A21C12" w:rsidRPr="002E2CCE" w:rsidRDefault="00A21C12" w:rsidP="002E2C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викидів забруднюючих речовин відповідають вимогам санітарного законодавства, заходи щодо скорочення викидів забруднюючих речовин в атмосферу та заходи щодо впровадження найкращих існуючих технологій виробництва не 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передбачені та не розробляються. Пропозиції щодо дозволених обсягів викидів забруднюючих речовин в атмосферне повітря розроблені згідно інструкції про загальні вимоги до оформлення документів.</w:t>
      </w:r>
    </w:p>
    <w:p w14:paraId="100682A1" w14:textId="503B1D5B" w:rsidR="00A21C12" w:rsidRPr="002E2CCE" w:rsidRDefault="00A21C12" w:rsidP="002E2C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пропозиціями та зауваженнями щодо діяльності підприємства з питань </w:t>
      </w:r>
      <w:r w:rsidR="00DE7D79"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дозволу на викиди 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звертатися протягом 30 календарних днів з моменту опублікування цього повідомлення до: </w:t>
      </w:r>
      <w:r w:rsidRPr="002E2CC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Чернігівської обласної державної адміністрації: </w:t>
      </w:r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14000, м.Чернігів, вул. Шевченка, 7, тел.+38 (0462) 67-50-24, е-mail: </w:t>
      </w:r>
      <w:hyperlink r:id="rId4" w:history="1">
        <w:r w:rsidRPr="002E2CCE">
          <w:rPr>
            <w:rStyle w:val="a3"/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post@regadm.gov.ua</w:t>
        </w:r>
      </w:hyperlink>
      <w:r w:rsidRPr="002E2C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4CE1E5F" w14:textId="77777777" w:rsidR="00A21C12" w:rsidRPr="002E2CCE" w:rsidRDefault="00A21C12" w:rsidP="002E2C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0411CF" w14:textId="77777777" w:rsidR="00A21C12" w:rsidRPr="002E2CCE" w:rsidRDefault="00A21C12" w:rsidP="002E2CCE">
      <w:pPr>
        <w:spacing w:after="0"/>
        <w:rPr>
          <w:rFonts w:ascii="Times New Roman" w:hAnsi="Times New Roman" w:cs="Times New Roman"/>
          <w:lang w:val="uk-UA"/>
        </w:rPr>
      </w:pPr>
    </w:p>
    <w:sectPr w:rsidR="00A21C12" w:rsidRPr="002E2CCE" w:rsidSect="00A21C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12"/>
    <w:rsid w:val="000206EA"/>
    <w:rsid w:val="001C6A48"/>
    <w:rsid w:val="001F4BD2"/>
    <w:rsid w:val="002E2CCE"/>
    <w:rsid w:val="003878DD"/>
    <w:rsid w:val="003C50CA"/>
    <w:rsid w:val="00493024"/>
    <w:rsid w:val="00496EB5"/>
    <w:rsid w:val="004E62FF"/>
    <w:rsid w:val="005D16F1"/>
    <w:rsid w:val="005E792D"/>
    <w:rsid w:val="00773517"/>
    <w:rsid w:val="007F1A66"/>
    <w:rsid w:val="00A21C12"/>
    <w:rsid w:val="00A67C52"/>
    <w:rsid w:val="00BF7DC7"/>
    <w:rsid w:val="00D04BD8"/>
    <w:rsid w:val="00DE7D79"/>
    <w:rsid w:val="00E073AC"/>
    <w:rsid w:val="00E51E23"/>
    <w:rsid w:val="00EB7023"/>
    <w:rsid w:val="00F22AA3"/>
    <w:rsid w:val="00F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0147"/>
  <w15:chartTrackingRefBased/>
  <w15:docId w15:val="{F26E9065-D159-4BAD-A4E2-E70CD0E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21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reg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2026-04-09T10:13:00Z</dcterms:created>
  <dcterms:modified xsi:type="dcterms:W3CDTF">2026-05-19T06:28:00Z</dcterms:modified>
</cp:coreProperties>
</file>